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3E1E8" w14:textId="77777777" w:rsidR="00F0467E" w:rsidRPr="006061D7" w:rsidRDefault="00F0467E" w:rsidP="00F0467E">
      <w:pPr>
        <w:pStyle w:val="stBilgi"/>
        <w:jc w:val="center"/>
        <w:rPr>
          <w:rFonts w:ascii="Times New Roman" w:hAnsi="Times New Roman" w:cs="Times New Roman"/>
          <w:b/>
          <w:bCs/>
          <w:sz w:val="24"/>
          <w:szCs w:val="24"/>
        </w:rPr>
      </w:pPr>
      <w:r w:rsidRPr="006061D7">
        <w:rPr>
          <w:rFonts w:ascii="Times New Roman" w:hAnsi="Times New Roman" w:cs="Times New Roman"/>
          <w:b/>
          <w:bCs/>
          <w:sz w:val="24"/>
          <w:szCs w:val="24"/>
        </w:rPr>
        <w:t>2024-2025 Eğitim-Öğretim Yılı Yaz Okulu Kapsamında Diğer Üniversitelerden Ders Alımına İlişkin Bölüm Kurulu Kararı</w:t>
      </w:r>
    </w:p>
    <w:p w14:paraId="36A383CB" w14:textId="77777777" w:rsidR="00F0467E" w:rsidRDefault="00F0467E" w:rsidP="00AE6441">
      <w:pPr>
        <w:spacing w:after="0"/>
        <w:ind w:left="780" w:hanging="360"/>
      </w:pPr>
    </w:p>
    <w:p w14:paraId="36517597" w14:textId="77777777" w:rsidR="00AE6441" w:rsidRDefault="00AE6441" w:rsidP="00AE6441">
      <w:pPr>
        <w:pStyle w:val="NormalWeb"/>
        <w:numPr>
          <w:ilvl w:val="0"/>
          <w:numId w:val="1"/>
        </w:numPr>
        <w:spacing w:before="0" w:beforeAutospacing="0" w:after="0" w:afterAutospacing="0"/>
        <w:rPr>
          <w:bCs/>
        </w:rPr>
      </w:pPr>
      <w:r w:rsidRPr="00CC4A3F">
        <w:rPr>
          <w:bCs/>
        </w:rPr>
        <w:t>Sağlık Bilimleri Fakültesi Hemşirelik Bölümü öğrencilerin</w:t>
      </w:r>
      <w:r>
        <w:rPr>
          <w:bCs/>
        </w:rPr>
        <w:t>den</w:t>
      </w:r>
      <w:r w:rsidRPr="00CC4A3F">
        <w:rPr>
          <w:bCs/>
        </w:rPr>
        <w:t xml:space="preserve"> diğer üniversitelerden </w:t>
      </w:r>
      <w:r>
        <w:rPr>
          <w:bCs/>
        </w:rPr>
        <w:t xml:space="preserve">yaz öğretimi kapsamında açılan ve kendileri için uygun olan dersleri alabilmeleri konusunda yapmış oldukları başvurular “yaz öğretiminde ders alma ve saydırma konularında Hasan Kalyoncu Üniversitesi’nin öğrenci, öğretim elemanı ve tüm paydaşlara açık olarak internet sayfasında da ilan edilen, ilgili yönerge, yönetmelikler kapsamında incelenmiştir. Buna göre: </w:t>
      </w:r>
    </w:p>
    <w:p w14:paraId="6E18E969" w14:textId="77777777" w:rsidR="00AE6441" w:rsidRDefault="00AE6441" w:rsidP="00AE6441">
      <w:pPr>
        <w:pStyle w:val="NormalWeb"/>
        <w:numPr>
          <w:ilvl w:val="1"/>
          <w:numId w:val="1"/>
        </w:numPr>
        <w:rPr>
          <w:rStyle w:val="Gl"/>
          <w:b w:val="0"/>
        </w:rPr>
      </w:pPr>
      <w:r>
        <w:rPr>
          <w:rStyle w:val="Gl"/>
        </w:rPr>
        <w:t xml:space="preserve">25 Haziran 2025 tarihli ve </w:t>
      </w:r>
      <w:hyperlink r:id="rId7" w:history="1">
        <w:r w:rsidRPr="00C278E1">
          <w:rPr>
            <w:rStyle w:val="Kpr"/>
          </w:rPr>
          <w:t>https://www.hku.edu.tr/ilanlar/2024-2025-egitim-ogretim-yili-yaz-okulu/</w:t>
        </w:r>
      </w:hyperlink>
      <w:r>
        <w:rPr>
          <w:rStyle w:val="Gl"/>
        </w:rPr>
        <w:t xml:space="preserve"> linkinde duyurusu yapılan “</w:t>
      </w:r>
      <w:r w:rsidRPr="0034294C">
        <w:rPr>
          <w:rStyle w:val="Gl"/>
        </w:rPr>
        <w:t>2024-2025 Eğitim Öğretim Yılı Yaz Okulu</w:t>
      </w:r>
      <w:r>
        <w:rPr>
          <w:rStyle w:val="Gl"/>
        </w:rPr>
        <w:t>” başlıklı duyuru içeriği ve “</w:t>
      </w:r>
      <w:r w:rsidRPr="00894B6A">
        <w:rPr>
          <w:rStyle w:val="Gl"/>
        </w:rPr>
        <w:t>Yaz okulunda ders alan öğrenciler “Hasan Kalyoncu Üniversitesi Yaz Öğretimi Yönergesi” ile “Hasan Kalyoncu Üniversitesi Önlisans ve Lisans Eğitim-Öğretim Yönetmeliği” hükümlerine tabidir.</w:t>
      </w:r>
      <w:r>
        <w:rPr>
          <w:rStyle w:val="Gl"/>
        </w:rPr>
        <w:t xml:space="preserve">” İfadesine istinaden: </w:t>
      </w:r>
    </w:p>
    <w:p w14:paraId="4CBF4CE4" w14:textId="77777777" w:rsidR="00AE6441" w:rsidRDefault="00AE6441" w:rsidP="00AE6441">
      <w:pPr>
        <w:pStyle w:val="NormalWeb"/>
        <w:numPr>
          <w:ilvl w:val="2"/>
          <w:numId w:val="1"/>
        </w:numPr>
        <w:rPr>
          <w:bCs/>
        </w:rPr>
      </w:pPr>
      <w:r>
        <w:rPr>
          <w:bCs/>
        </w:rPr>
        <w:t>Yaz okulu ile ilgili “</w:t>
      </w:r>
      <w:r w:rsidRPr="0034294C">
        <w:rPr>
          <w:b/>
          <w:bCs/>
        </w:rPr>
        <w:t>Hasan Kalyoncu Üniversit</w:t>
      </w:r>
      <w:r>
        <w:rPr>
          <w:b/>
          <w:bCs/>
        </w:rPr>
        <w:t xml:space="preserve">esi Yaz Öğretimi Yönergesi için </w:t>
      </w:r>
      <w:hyperlink r:id="rId8" w:history="1">
        <w:r w:rsidRPr="0034294C">
          <w:rPr>
            <w:rStyle w:val="Kpr"/>
            <w:b/>
            <w:bCs/>
          </w:rPr>
          <w:t>tıklayınız.</w:t>
        </w:r>
      </w:hyperlink>
      <w:r>
        <w:rPr>
          <w:bCs/>
        </w:rPr>
        <w:t>” Bölümünden ulaşılan HASAN KALYONCU ÜNİVERSİTESİ</w:t>
      </w:r>
      <w:r w:rsidRPr="0034294C">
        <w:rPr>
          <w:bCs/>
        </w:rPr>
        <w:t xml:space="preserve"> YAZ ÖĞRETİMİ YÖNERGESİ</w:t>
      </w:r>
      <w:r>
        <w:rPr>
          <w:bCs/>
        </w:rPr>
        <w:t xml:space="preserve">’nin maddeleri </w:t>
      </w:r>
    </w:p>
    <w:p w14:paraId="61F5A875" w14:textId="77777777" w:rsidR="00AE6441" w:rsidRDefault="00AE6441" w:rsidP="00AE6441">
      <w:pPr>
        <w:pStyle w:val="NormalWeb"/>
        <w:numPr>
          <w:ilvl w:val="2"/>
          <w:numId w:val="1"/>
        </w:numPr>
        <w:rPr>
          <w:rStyle w:val="Gl"/>
          <w:b w:val="0"/>
        </w:rPr>
      </w:pPr>
      <w:r w:rsidRPr="00894B6A">
        <w:rPr>
          <w:rStyle w:val="Gl"/>
        </w:rPr>
        <w:t>HASAN KALYONCU ÜNİVERSİTESİ ÖNLİSANS VE LİSANS EĞİTİM ÖĞRETİM VE SINAV YÖNETMELİĞİ</w:t>
      </w:r>
      <w:r>
        <w:rPr>
          <w:rStyle w:val="Gl"/>
        </w:rPr>
        <w:t>’nin (</w:t>
      </w:r>
      <w:hyperlink r:id="rId9" w:history="1">
        <w:r w:rsidRPr="00C278E1">
          <w:rPr>
            <w:rStyle w:val="Kpr"/>
          </w:rPr>
          <w:t>https://www.hku.edu.tr/mevzuatlar/</w:t>
        </w:r>
      </w:hyperlink>
      <w:r>
        <w:rPr>
          <w:rStyle w:val="Gl"/>
        </w:rPr>
        <w:t xml:space="preserve"> )yaz okulu ile ilgili maddeleri,</w:t>
      </w:r>
    </w:p>
    <w:p w14:paraId="284C8458" w14:textId="77777777" w:rsidR="00AE6441" w:rsidRPr="00AE1B8C" w:rsidRDefault="00AE6441" w:rsidP="00AE6441">
      <w:pPr>
        <w:pStyle w:val="NormalWeb"/>
        <w:numPr>
          <w:ilvl w:val="1"/>
          <w:numId w:val="1"/>
        </w:numPr>
        <w:rPr>
          <w:rStyle w:val="Gl"/>
          <w:b w:val="0"/>
        </w:rPr>
      </w:pPr>
      <w:r w:rsidRPr="00CC4A3F">
        <w:rPr>
          <w:rStyle w:val="Gl"/>
          <w:rFonts w:eastAsiaTheme="majorEastAsia"/>
        </w:rPr>
        <w:t>21.05.2024 tarihli, 2024-08 toplantı nolu ve 1-B sayılı Senato Kararı ile kabul edilen Muafiyet ve İntibak Yönergesi’nin 6. maddesi</w:t>
      </w:r>
      <w:r w:rsidRPr="00CC4A3F">
        <w:rPr>
          <w:b/>
        </w:rPr>
        <w:t xml:space="preserve"> </w:t>
      </w:r>
      <w:r w:rsidRPr="00CC4A3F">
        <w:rPr>
          <w:bCs/>
        </w:rPr>
        <w:t>ile</w:t>
      </w:r>
      <w:r w:rsidRPr="00CC4A3F">
        <w:rPr>
          <w:b/>
        </w:rPr>
        <w:t xml:space="preserve"> </w:t>
      </w:r>
      <w:r w:rsidRPr="00CC4A3F">
        <w:rPr>
          <w:rStyle w:val="Gl"/>
          <w:rFonts w:eastAsiaTheme="majorEastAsia"/>
        </w:rPr>
        <w:t>Yaz Öğretimi Yönergesi’nin “(1) Üniversitede yaz öğretiminde açılmayan bir ders; dersin kredisi ve içeriği dikkate alınmak kaydıyla, ilgili bölümün teklifi ve ilgili yönetim kurulu kararıyla başka</w:t>
      </w:r>
      <w:r>
        <w:rPr>
          <w:rStyle w:val="Gl"/>
          <w:rFonts w:eastAsiaTheme="majorEastAsia"/>
        </w:rPr>
        <w:t xml:space="preserve"> bir üniversiteden alınabilir.” </w:t>
      </w:r>
      <w:r w:rsidRPr="00CC4A3F">
        <w:rPr>
          <w:rStyle w:val="Gl"/>
          <w:rFonts w:eastAsiaTheme="majorEastAsia"/>
        </w:rPr>
        <w:t xml:space="preserve">hükmü </w:t>
      </w:r>
    </w:p>
    <w:p w14:paraId="1A7DF6C4" w14:textId="77777777" w:rsidR="00AE6441" w:rsidRDefault="00AE6441" w:rsidP="00AE6441">
      <w:pPr>
        <w:pStyle w:val="NormalWeb"/>
        <w:numPr>
          <w:ilvl w:val="1"/>
          <w:numId w:val="1"/>
        </w:numPr>
        <w:rPr>
          <w:bCs/>
        </w:rPr>
      </w:pPr>
      <w:r w:rsidRPr="00CC4A3F">
        <w:rPr>
          <w:rStyle w:val="Gl"/>
          <w:rFonts w:eastAsiaTheme="majorEastAsia"/>
        </w:rPr>
        <w:t>Muafiyet ve İntibak Yönergesi’nin 6. maddesi uyarınca;</w:t>
      </w:r>
      <w:r w:rsidRPr="00CC4A3F">
        <w:rPr>
          <w:bCs/>
        </w:rPr>
        <w:t xml:space="preserve"> muafiyet istenen dersin zorunlu veya seçmeli olması ya da adının eşdeğer sayılacak ders ile birebir aynı olup olmamasına bakılmaksızın; </w:t>
      </w:r>
      <w:r w:rsidRPr="00CC4A3F">
        <w:rPr>
          <w:rStyle w:val="Gl"/>
          <w:rFonts w:eastAsiaTheme="majorEastAsia"/>
        </w:rPr>
        <w:t>eşit ya da daha yüksek kredili olması şartıyla</w:t>
      </w:r>
      <w:r w:rsidRPr="00CC4A3F">
        <w:rPr>
          <w:bCs/>
        </w:rPr>
        <w:t xml:space="preserve">, ders içeriği yaklaşık olarak </w:t>
      </w:r>
      <w:r w:rsidRPr="00CC4A3F">
        <w:rPr>
          <w:rStyle w:val="Gl"/>
          <w:rFonts w:eastAsiaTheme="majorEastAsia"/>
        </w:rPr>
        <w:t>%80’in üzerinde uyumlu ise</w:t>
      </w:r>
      <w:r w:rsidRPr="00CC4A3F">
        <w:rPr>
          <w:bCs/>
        </w:rPr>
        <w:t xml:space="preserve"> ilgili </w:t>
      </w:r>
      <w:r w:rsidRPr="00CC4A3F">
        <w:rPr>
          <w:rStyle w:val="Gl"/>
          <w:rFonts w:eastAsiaTheme="majorEastAsia"/>
        </w:rPr>
        <w:t>Bölüm Başkanlığı</w:t>
      </w:r>
      <w:r w:rsidRPr="00CC4A3F">
        <w:rPr>
          <w:bCs/>
        </w:rPr>
        <w:t xml:space="preserve"> tarafından değerlendirmeye alınabileceği</w:t>
      </w:r>
      <w:r>
        <w:rPr>
          <w:bCs/>
        </w:rPr>
        <w:t>” maddesi kapsamında</w:t>
      </w:r>
    </w:p>
    <w:p w14:paraId="6D708C06" w14:textId="77777777" w:rsidR="00AE6441" w:rsidRDefault="00AE6441" w:rsidP="00AE6441">
      <w:pPr>
        <w:pStyle w:val="NormalWeb"/>
        <w:numPr>
          <w:ilvl w:val="0"/>
          <w:numId w:val="1"/>
        </w:numPr>
        <w:rPr>
          <w:bCs/>
        </w:rPr>
      </w:pPr>
      <w:r>
        <w:rPr>
          <w:bCs/>
        </w:rPr>
        <w:t xml:space="preserve">Bu konuda belirtilen ilan metinlerinde de dahil olmak üzere farklı bir mevzuat hükümlerinin tebliği edilmemiş olduğu, </w:t>
      </w:r>
    </w:p>
    <w:p w14:paraId="11B8C5AF" w14:textId="77777777" w:rsidR="00AE6441" w:rsidRPr="00D9058A" w:rsidRDefault="00AE6441" w:rsidP="00AE6441">
      <w:pPr>
        <w:pStyle w:val="NormalWeb"/>
        <w:numPr>
          <w:ilvl w:val="0"/>
          <w:numId w:val="1"/>
        </w:numPr>
        <w:rPr>
          <w:bCs/>
        </w:rPr>
      </w:pPr>
      <w:r w:rsidRPr="00D9058A">
        <w:rPr>
          <w:bCs/>
        </w:rPr>
        <w:t>Diğer üniversitelerden Yaz öğretimi kapsamında ders almak isteyen öğrencilerin başvurularının yukarıdaki mevzuata uygun olduğu,</w:t>
      </w:r>
    </w:p>
    <w:p w14:paraId="0CA298E2" w14:textId="1B8F24C2" w:rsidR="00AE6441" w:rsidRPr="002944E7" w:rsidRDefault="00AE6441" w:rsidP="002944E7">
      <w:pPr>
        <w:pStyle w:val="NormalWeb"/>
        <w:numPr>
          <w:ilvl w:val="0"/>
          <w:numId w:val="1"/>
        </w:numPr>
        <w:rPr>
          <w:bCs/>
        </w:rPr>
      </w:pPr>
      <w:r w:rsidRPr="00CC4A3F">
        <w:rPr>
          <w:bCs/>
        </w:rPr>
        <w:t>Bu doğrultuda, başka bir üniversiteden alınmak isten</w:t>
      </w:r>
      <w:r>
        <w:rPr>
          <w:bCs/>
        </w:rPr>
        <w:t>il</w:t>
      </w:r>
      <w:r w:rsidRPr="00CC4A3F">
        <w:rPr>
          <w:bCs/>
        </w:rPr>
        <w:t>en derslerin</w:t>
      </w:r>
      <w:r>
        <w:rPr>
          <w:bCs/>
        </w:rPr>
        <w:t>,</w:t>
      </w:r>
      <w:r w:rsidRPr="00CC4A3F">
        <w:rPr>
          <w:bCs/>
        </w:rPr>
        <w:t xml:space="preserve"> </w:t>
      </w:r>
      <w:r>
        <w:rPr>
          <w:bCs/>
        </w:rPr>
        <w:t xml:space="preserve">ilgili dersin sorumlu öğretim elemanı ve sınıf danışmanı öğretim elemanı tarafından yukarıdaki koşullar, ders içerikleri, ders adı </w:t>
      </w:r>
      <w:r w:rsidRPr="00CC4A3F">
        <w:rPr>
          <w:bCs/>
        </w:rPr>
        <w:t xml:space="preserve">ve kredi bilgileri dikkate alınarak </w:t>
      </w:r>
      <w:r>
        <w:rPr>
          <w:bCs/>
        </w:rPr>
        <w:t xml:space="preserve">vermiş oldukları “uygunluk” kararının Bölüm Kurulu tarafından da uygun bulunduğu ve öğrencilerin belirttikleri Üniversitelerde derslere katılmalarının yukarıdaki mevzuata aykırı olmadığı ve bu durumun ilgili öğrencilere duyurulmasına </w:t>
      </w:r>
      <w:r w:rsidRPr="00CC4A3F">
        <w:rPr>
          <w:bCs/>
        </w:rPr>
        <w:t>karar verilmiştir</w:t>
      </w:r>
      <w:r>
        <w:rPr>
          <w:bCs/>
        </w:rPr>
        <w:t>.</w:t>
      </w:r>
    </w:p>
    <w:p w14:paraId="54CFCA7A" w14:textId="77777777" w:rsidR="00AE6441" w:rsidRDefault="00AE6441" w:rsidP="00AE6441">
      <w:pPr>
        <w:pStyle w:val="ListeParagraf"/>
        <w:jc w:val="right"/>
        <w:rPr>
          <w:rFonts w:ascii="Times New Roman" w:hAnsi="Times New Roman"/>
          <w:b/>
          <w:sz w:val="24"/>
        </w:rPr>
      </w:pPr>
      <w:r w:rsidRPr="00A853F1">
        <w:rPr>
          <w:rFonts w:ascii="Times New Roman" w:hAnsi="Times New Roman"/>
          <w:b/>
          <w:sz w:val="24"/>
        </w:rPr>
        <w:t xml:space="preserve">Hemşirelik Bölüm Başkanı </w:t>
      </w:r>
    </w:p>
    <w:p w14:paraId="620E070A" w14:textId="77220648" w:rsidR="00116909" w:rsidRPr="00A853F1" w:rsidRDefault="00116909" w:rsidP="00AE6441">
      <w:pPr>
        <w:pStyle w:val="ListeParagraf"/>
        <w:jc w:val="right"/>
        <w:rPr>
          <w:rFonts w:ascii="Times New Roman" w:hAnsi="Times New Roman"/>
          <w:b/>
          <w:sz w:val="24"/>
        </w:rPr>
      </w:pPr>
      <w:r>
        <w:rPr>
          <w:rFonts w:ascii="Times New Roman" w:hAnsi="Times New Roman"/>
          <w:b/>
          <w:sz w:val="24"/>
        </w:rPr>
        <w:t>Prof. Dr. Ayla YAVA</w:t>
      </w:r>
    </w:p>
    <w:sectPr w:rsidR="00116909" w:rsidRPr="00A853F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AC082" w14:textId="77777777" w:rsidR="00164A13" w:rsidRDefault="00164A13" w:rsidP="00164A13">
      <w:pPr>
        <w:spacing w:after="0" w:line="240" w:lineRule="auto"/>
      </w:pPr>
      <w:r>
        <w:separator/>
      </w:r>
    </w:p>
  </w:endnote>
  <w:endnote w:type="continuationSeparator" w:id="0">
    <w:p w14:paraId="1D39C552" w14:textId="77777777" w:rsidR="00164A13" w:rsidRDefault="00164A13" w:rsidP="00164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35E2B" w14:textId="77777777" w:rsidR="00164A13" w:rsidRDefault="00164A13" w:rsidP="00164A13">
      <w:pPr>
        <w:spacing w:after="0" w:line="240" w:lineRule="auto"/>
      </w:pPr>
      <w:r>
        <w:separator/>
      </w:r>
    </w:p>
  </w:footnote>
  <w:footnote w:type="continuationSeparator" w:id="0">
    <w:p w14:paraId="7A1ADE0E" w14:textId="77777777" w:rsidR="00164A13" w:rsidRDefault="00164A13" w:rsidP="00164A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70514"/>
    <w:multiLevelType w:val="hybridMultilevel"/>
    <w:tmpl w:val="E1D67D0A"/>
    <w:lvl w:ilvl="0" w:tplc="041F000F">
      <w:start w:val="1"/>
      <w:numFmt w:val="decimal"/>
      <w:lvlText w:val="%1."/>
      <w:lvlJc w:val="left"/>
      <w:pPr>
        <w:ind w:left="780" w:hanging="360"/>
      </w:pPr>
    </w:lvl>
    <w:lvl w:ilvl="1" w:tplc="041F0019">
      <w:start w:val="1"/>
      <w:numFmt w:val="lowerLetter"/>
      <w:lvlText w:val="%2."/>
      <w:lvlJc w:val="left"/>
      <w:pPr>
        <w:ind w:left="1500" w:hanging="360"/>
      </w:pPr>
    </w:lvl>
    <w:lvl w:ilvl="2" w:tplc="041F001B">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num w:numId="1" w16cid:durableId="1892840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20B"/>
    <w:rsid w:val="00116909"/>
    <w:rsid w:val="00164A13"/>
    <w:rsid w:val="002944E7"/>
    <w:rsid w:val="006061D7"/>
    <w:rsid w:val="007010BF"/>
    <w:rsid w:val="0084720B"/>
    <w:rsid w:val="00952EE1"/>
    <w:rsid w:val="00AE6441"/>
    <w:rsid w:val="00E63259"/>
    <w:rsid w:val="00F0467E"/>
    <w:rsid w:val="00FC07E6"/>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B49C9"/>
  <w15:chartTrackingRefBased/>
  <w15:docId w15:val="{9FE12E57-244A-4BE9-85F6-E01DC259F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472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472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4720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4720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4720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4720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4720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4720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4720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4720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4720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4720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4720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4720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4720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4720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4720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4720B"/>
    <w:rPr>
      <w:rFonts w:eastAsiaTheme="majorEastAsia" w:cstheme="majorBidi"/>
      <w:color w:val="272727" w:themeColor="text1" w:themeTint="D8"/>
    </w:rPr>
  </w:style>
  <w:style w:type="paragraph" w:styleId="KonuBal">
    <w:name w:val="Title"/>
    <w:basedOn w:val="Normal"/>
    <w:next w:val="Normal"/>
    <w:link w:val="KonuBalChar"/>
    <w:uiPriority w:val="10"/>
    <w:qFormat/>
    <w:rsid w:val="008472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4720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4720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4720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4720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4720B"/>
    <w:rPr>
      <w:i/>
      <w:iCs/>
      <w:color w:val="404040" w:themeColor="text1" w:themeTint="BF"/>
    </w:rPr>
  </w:style>
  <w:style w:type="paragraph" w:styleId="ListeParagraf">
    <w:name w:val="List Paragraph"/>
    <w:basedOn w:val="Normal"/>
    <w:uiPriority w:val="34"/>
    <w:qFormat/>
    <w:rsid w:val="0084720B"/>
    <w:pPr>
      <w:ind w:left="720"/>
      <w:contextualSpacing/>
    </w:pPr>
  </w:style>
  <w:style w:type="character" w:styleId="GlVurgulama">
    <w:name w:val="Intense Emphasis"/>
    <w:basedOn w:val="VarsaylanParagrafYazTipi"/>
    <w:uiPriority w:val="21"/>
    <w:qFormat/>
    <w:rsid w:val="0084720B"/>
    <w:rPr>
      <w:i/>
      <w:iCs/>
      <w:color w:val="0F4761" w:themeColor="accent1" w:themeShade="BF"/>
    </w:rPr>
  </w:style>
  <w:style w:type="paragraph" w:styleId="GlAlnt">
    <w:name w:val="Intense Quote"/>
    <w:basedOn w:val="Normal"/>
    <w:next w:val="Normal"/>
    <w:link w:val="GlAlntChar"/>
    <w:uiPriority w:val="30"/>
    <w:qFormat/>
    <w:rsid w:val="008472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4720B"/>
    <w:rPr>
      <w:i/>
      <w:iCs/>
      <w:color w:val="0F4761" w:themeColor="accent1" w:themeShade="BF"/>
    </w:rPr>
  </w:style>
  <w:style w:type="character" w:styleId="GlBavuru">
    <w:name w:val="Intense Reference"/>
    <w:basedOn w:val="VarsaylanParagrafYazTipi"/>
    <w:uiPriority w:val="32"/>
    <w:qFormat/>
    <w:rsid w:val="0084720B"/>
    <w:rPr>
      <w:b/>
      <w:bCs/>
      <w:smallCaps/>
      <w:color w:val="0F4761" w:themeColor="accent1" w:themeShade="BF"/>
      <w:spacing w:val="5"/>
    </w:rPr>
  </w:style>
  <w:style w:type="paragraph" w:styleId="NormalWeb">
    <w:name w:val="Normal (Web)"/>
    <w:basedOn w:val="Normal"/>
    <w:uiPriority w:val="99"/>
    <w:unhideWhenUsed/>
    <w:rsid w:val="00AE6441"/>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AE6441"/>
    <w:rPr>
      <w:b/>
      <w:bCs/>
    </w:rPr>
  </w:style>
  <w:style w:type="character" w:styleId="Kpr">
    <w:name w:val="Hyperlink"/>
    <w:basedOn w:val="VarsaylanParagrafYazTipi"/>
    <w:uiPriority w:val="99"/>
    <w:unhideWhenUsed/>
    <w:rsid w:val="00AE6441"/>
    <w:rPr>
      <w:color w:val="467886" w:themeColor="hyperlink"/>
      <w:u w:val="single"/>
    </w:rPr>
  </w:style>
  <w:style w:type="paragraph" w:styleId="stBilgi">
    <w:name w:val="header"/>
    <w:basedOn w:val="Normal"/>
    <w:link w:val="stBilgiChar"/>
    <w:uiPriority w:val="99"/>
    <w:unhideWhenUsed/>
    <w:rsid w:val="00164A1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64A13"/>
  </w:style>
  <w:style w:type="paragraph" w:styleId="AltBilgi">
    <w:name w:val="footer"/>
    <w:basedOn w:val="Normal"/>
    <w:link w:val="AltBilgiChar"/>
    <w:uiPriority w:val="99"/>
    <w:unhideWhenUsed/>
    <w:rsid w:val="00164A1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64A13"/>
  </w:style>
  <w:style w:type="character" w:styleId="zlenenKpr">
    <w:name w:val="FollowedHyperlink"/>
    <w:basedOn w:val="VarsaylanParagrafYazTipi"/>
    <w:uiPriority w:val="99"/>
    <w:semiHidden/>
    <w:unhideWhenUsed/>
    <w:rsid w:val="006061D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u.edu.tr/wp-content/uploads/2020/06/yaz-ogretimi-yonergesi.pdf" TargetMode="External"/><Relationship Id="rId3" Type="http://schemas.openxmlformats.org/officeDocument/2006/relationships/settings" Target="settings.xml"/><Relationship Id="rId7" Type="http://schemas.openxmlformats.org/officeDocument/2006/relationships/hyperlink" Target="https://www.hku.edu.tr/ilanlar/2024-2025-egitim-ogretim-yili-yaz-okul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ku.edu.tr/mevzuatla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457</Words>
  <Characters>2605</Characters>
  <Application>Microsoft Office Word</Application>
  <DocSecurity>0</DocSecurity>
  <Lines>21</Lines>
  <Paragraphs>6</Paragraphs>
  <ScaleCrop>false</ScaleCrop>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sarıgül</dc:creator>
  <cp:keywords/>
  <dc:description/>
  <cp:lastModifiedBy>fatih sarıgül</cp:lastModifiedBy>
  <cp:revision>9</cp:revision>
  <dcterms:created xsi:type="dcterms:W3CDTF">2025-07-14T05:49:00Z</dcterms:created>
  <dcterms:modified xsi:type="dcterms:W3CDTF">2025-07-14T06:02:00Z</dcterms:modified>
</cp:coreProperties>
</file>